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22293" w14:textId="32B38C7F" w:rsidR="0035554F" w:rsidRPr="0035554F" w:rsidRDefault="0035554F" w:rsidP="0035554F">
      <w:pPr>
        <w:rPr>
          <w:rFonts w:ascii="ＭＳ 明朝" w:eastAsia="ＭＳ 明朝" w:hAnsi="ＭＳ 明朝"/>
          <w:b/>
          <w:bCs/>
        </w:rPr>
      </w:pPr>
      <w:r w:rsidRPr="0035554F">
        <w:rPr>
          <w:rFonts w:ascii="ＭＳ 明朝" w:eastAsia="ＭＳ 明朝" w:hAnsi="ＭＳ 明朝"/>
          <w:b/>
          <w:bCs/>
        </w:rPr>
        <w:t>日本農業新聞　2026年4月18日</w:t>
      </w:r>
      <w:r w:rsidRPr="0035554F">
        <w:rPr>
          <w:rFonts w:ascii="ＭＳ 明朝" w:eastAsia="ＭＳ 明朝" w:hAnsi="ＭＳ 明朝" w:hint="eastAsia"/>
          <w:b/>
          <w:bCs/>
        </w:rPr>
        <w:t xml:space="preserve">　</w:t>
      </w:r>
      <w:r w:rsidRPr="0035554F">
        <w:rPr>
          <w:rFonts w:ascii="ＭＳ 明朝" w:eastAsia="ＭＳ 明朝" w:hAnsi="ＭＳ 明朝"/>
          <w:b/>
          <w:bCs/>
        </w:rPr>
        <w:t>＜ニッポンの米＞</w:t>
      </w:r>
      <w:r w:rsidRPr="0035554F">
        <w:rPr>
          <w:rFonts w:ascii="ＭＳ 明朝" w:eastAsia="ＭＳ 明朝" w:hAnsi="ＭＳ 明朝" w:hint="eastAsia"/>
          <w:b/>
          <w:bCs/>
        </w:rPr>
        <w:t xml:space="preserve">　</w:t>
      </w:r>
    </w:p>
    <w:p w14:paraId="7D1B31C9" w14:textId="77777777" w:rsidR="0035554F" w:rsidRPr="0035554F" w:rsidRDefault="0035554F" w:rsidP="0035554F">
      <w:pPr>
        <w:rPr>
          <w:rFonts w:ascii="ＭＳ 明朝" w:eastAsia="ＭＳ 明朝" w:hAnsi="ＭＳ 明朝"/>
          <w:b/>
          <w:bCs/>
          <w:sz w:val="28"/>
          <w:szCs w:val="28"/>
        </w:rPr>
      </w:pPr>
      <w:r w:rsidRPr="0035554F">
        <w:rPr>
          <w:rFonts w:ascii="ＭＳ 明朝" w:eastAsia="ＭＳ 明朝" w:hAnsi="ＭＳ 明朝"/>
          <w:b/>
          <w:bCs/>
          <w:sz w:val="28"/>
          <w:szCs w:val="28"/>
        </w:rPr>
        <w:t>非主食用米２５万トン不足　飼料用も追加調査へ　２６年産農水省見通し</w:t>
      </w:r>
    </w:p>
    <w:p w14:paraId="64CE1724" w14:textId="77777777" w:rsidR="0035554F" w:rsidRDefault="0035554F" w:rsidP="0035554F">
      <w:pPr>
        <w:rPr>
          <w:rFonts w:ascii="ＭＳ 明朝" w:eastAsia="ＭＳ 明朝" w:hAnsi="ＭＳ 明朝"/>
          <w:b/>
          <w:bCs/>
          <w:sz w:val="22"/>
        </w:rPr>
      </w:pPr>
    </w:p>
    <w:p w14:paraId="3CC079CD" w14:textId="206F3196"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農水省は１７日、加工用や米粉用などの主食用以外の米の需要に対し、２０２６年産では生産量が約２５万トン不足する見通しを示した。</w:t>
      </w:r>
    </w:p>
    <w:p w14:paraId="0606EE7D" w14:textId="77777777" w:rsidR="0035554F" w:rsidRPr="0035554F" w:rsidRDefault="0035554F" w:rsidP="0035554F">
      <w:pPr>
        <w:ind w:firstLineChars="100" w:firstLine="204"/>
        <w:rPr>
          <w:rFonts w:ascii="ＭＳ 明朝" w:eastAsia="ＭＳ 明朝" w:hAnsi="ＭＳ 明朝"/>
          <w:b/>
          <w:bCs/>
          <w:sz w:val="22"/>
        </w:rPr>
      </w:pPr>
      <w:r w:rsidRPr="0035554F">
        <w:rPr>
          <w:rFonts w:ascii="ＭＳ 明朝" w:eastAsia="ＭＳ 明朝" w:hAnsi="ＭＳ 明朝"/>
          <w:b/>
          <w:bCs/>
          <w:sz w:val="22"/>
        </w:rPr>
        <w:t>前年に続き主食用の作付け意欲が高く需給緩和も懸念される中、作付けの転換が進むかが焦点となる。</w:t>
      </w:r>
    </w:p>
    <w:p w14:paraId="788D7D8F" w14:textId="3F0D8DD5" w:rsidR="0035554F" w:rsidRPr="0035554F" w:rsidRDefault="0035554F" w:rsidP="0035554F">
      <w:pPr>
        <w:ind w:firstLineChars="100" w:firstLine="204"/>
        <w:rPr>
          <w:rFonts w:ascii="ＭＳ 明朝" w:eastAsia="ＭＳ 明朝" w:hAnsi="ＭＳ 明朝"/>
          <w:b/>
          <w:bCs/>
          <w:color w:val="FF0000"/>
          <w:sz w:val="22"/>
        </w:rPr>
      </w:pPr>
      <w:r w:rsidRPr="0035554F">
        <w:rPr>
          <w:rFonts w:ascii="ＭＳ 明朝" w:eastAsia="ＭＳ 明朝" w:hAnsi="ＭＳ 明朝"/>
          <w:b/>
          <w:bCs/>
          <w:color w:val="FF0000"/>
          <w:sz w:val="22"/>
        </w:rPr>
        <w:t>飼料用米の需要量についても今後調査し、不足量を把握する方針だ。</w:t>
      </w:r>
    </w:p>
    <w:p w14:paraId="57BE6C5A" w14:textId="6BF4066A"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需要量と１月末時点の作付け意向を比べて算出した。みそや菓子などの原料となる加工用米で約４万トン、輸出用などの新市場開拓用米で約２～４万トン、米粉用米で約４万トン、政府備蓄米で約１</w:t>
      </w:r>
      <w:r w:rsidRPr="0035554F">
        <w:rPr>
          <w:rFonts w:ascii="ＭＳ 明朝" w:eastAsia="ＭＳ 明朝" w:hAnsi="ＭＳ 明朝" w:hint="eastAsia"/>
          <w:b/>
          <w:bCs/>
          <w:sz w:val="22"/>
        </w:rPr>
        <w:t>３万トン足りない見通し。</w:t>
      </w:r>
    </w:p>
    <w:p w14:paraId="2579E7A9" w14:textId="77777777"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意向調査を受けて同省が不足量の見込みを示すのは初めて。価格が上昇した主食用への転換が進んだことで、２５年産で非主食用の米が足りなくなったことを踏まえた。</w:t>
      </w:r>
    </w:p>
    <w:p w14:paraId="152A0563" w14:textId="6D480F13"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加工用米の需要量は、２２～２４年産の生産量の平均である２７万トンとした。作付け意向では、生産が減少する前の２４年産比で０・７万ヘクタール減の４・３万ヘクタールで、需要を満たすには０・７万ヘクタール足りない状況だ。</w:t>
      </w:r>
    </w:p>
    <w:p w14:paraId="11433E1E" w14:textId="5AD608BB"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新市場開拓用米の需要量は、２６年の輸出見込みを実需者から聞き取って７～９万トンとした。２６年産</w:t>
      </w:r>
      <w:r w:rsidRPr="0035554F">
        <w:rPr>
          <w:rFonts w:ascii="ＭＳ 明朝" w:eastAsia="ＭＳ 明朝" w:hAnsi="ＭＳ 明朝" w:hint="eastAsia"/>
          <w:b/>
          <w:bCs/>
          <w:sz w:val="22"/>
        </w:rPr>
        <w:t>は２４年産比で０・２万ヘクタール減の０・９万ヘクタールの見込みで、０・４～０・７万ヘクタール不足している。</w:t>
      </w:r>
    </w:p>
    <w:p w14:paraId="1CB7B32F" w14:textId="20946B65"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米粉用米は、同省が公表する需要見通しで６万トンとしている。２６年産は２４年産比で０・２万ヘクタール減の０・４万ヘクタールの見込みで、さらに０・７万ヘクタールの生産が必要となっている。</w:t>
      </w:r>
    </w:p>
    <w:p w14:paraId="22E09904" w14:textId="22E6FDCA"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 xml:space="preserve">　２６年産では、２５年産で見送っていた例年の備蓄米の買い入れも再開する。２１万トンを予定しているが、意向では８万トン相当の１・４万ヘクタールにとどまっており、全量調達へはさらに２・４万ヘクタールが必要だ。</w:t>
      </w:r>
    </w:p>
    <w:p w14:paraId="56BD616A" w14:textId="03ED343A" w:rsidR="0035554F" w:rsidRPr="0035554F" w:rsidRDefault="0035554F" w:rsidP="0035554F">
      <w:pPr>
        <w:rPr>
          <w:rFonts w:ascii="ＭＳ 明朝" w:eastAsia="ＭＳ 明朝" w:hAnsi="ＭＳ 明朝"/>
          <w:b/>
          <w:bCs/>
          <w:sz w:val="22"/>
        </w:rPr>
      </w:pPr>
      <w:r w:rsidRPr="0035554F">
        <w:rPr>
          <w:rFonts w:ascii="ＭＳ 明朝" w:eastAsia="ＭＳ 明朝" w:hAnsi="ＭＳ 明朝"/>
          <w:b/>
          <w:bCs/>
          <w:sz w:val="22"/>
        </w:rPr>
        <w:t>一方、２６年産の主食用米の生産量は７３２万トンに上る見込み。大幅な増産となった前年産並みの生産量で、国の適正生産量も２１万トン上回る。転作の申請に必要な「営農計画書」の提出は６月末までで、需給緩和の回避へ、今後作付けの転換をどれだけ進められるかが焦点となる。</w:t>
      </w:r>
    </w:p>
    <w:p w14:paraId="3CDD2224" w14:textId="3DB587B7" w:rsidR="008C47F2" w:rsidRDefault="0035554F" w:rsidP="0035554F">
      <w:pPr>
        <w:rPr>
          <w:rFonts w:ascii="ＭＳ 明朝" w:eastAsia="ＭＳ 明朝" w:hAnsi="ＭＳ 明朝"/>
          <w:b/>
          <w:bCs/>
          <w:sz w:val="22"/>
        </w:rPr>
      </w:pPr>
      <w:r w:rsidRPr="0035554F">
        <w:rPr>
          <w:rFonts w:ascii="ＭＳ 明朝" w:eastAsia="ＭＳ 明朝" w:hAnsi="ＭＳ 明朝"/>
          <w:b/>
          <w:bCs/>
          <w:sz w:val="22"/>
        </w:rPr>
        <w:t>非主食用米のうち、飼料用米の需要量についても、鈴木憲和農相が同日の閣議後記者会見で後日示す意向を示した。ミニマムアクセス（最低輸入機会＝ＭＡ）米や備蓄米も飼料用として供給していることから、需要を「精査する必要がある」とした。（本</w:t>
      </w:r>
      <w:r w:rsidRPr="0035554F">
        <w:rPr>
          <w:rFonts w:ascii="ＭＳ 明朝" w:eastAsia="ＭＳ 明朝" w:hAnsi="ＭＳ 明朝" w:hint="eastAsia"/>
          <w:b/>
          <w:bCs/>
          <w:sz w:val="22"/>
        </w:rPr>
        <w:t>田恵梨）</w:t>
      </w:r>
    </w:p>
    <w:p w14:paraId="19035CDE" w14:textId="77777777" w:rsidR="004E2FFF" w:rsidRDefault="004E2FFF" w:rsidP="0035554F">
      <w:pPr>
        <w:rPr>
          <w:rFonts w:ascii="ＭＳ 明朝" w:eastAsia="ＭＳ 明朝" w:hAnsi="ＭＳ 明朝"/>
          <w:b/>
          <w:bCs/>
          <w:sz w:val="22"/>
        </w:rPr>
      </w:pPr>
    </w:p>
    <w:p w14:paraId="11FE3BF6" w14:textId="41CCCE02" w:rsidR="004E2FFF" w:rsidRDefault="004E2FFF" w:rsidP="0035554F">
      <w:pPr>
        <w:rPr>
          <w:rFonts w:ascii="ＭＳ 明朝" w:eastAsia="ＭＳ 明朝" w:hAnsi="ＭＳ 明朝"/>
          <w:b/>
          <w:bCs/>
          <w:sz w:val="22"/>
        </w:rPr>
      </w:pPr>
      <w:r>
        <w:rPr>
          <w:rFonts w:ascii="ＭＳ 明朝" w:eastAsia="ＭＳ 明朝" w:hAnsi="ＭＳ 明朝" w:hint="eastAsia"/>
          <w:b/>
          <w:bCs/>
          <w:sz w:val="22"/>
        </w:rPr>
        <w:t>＊＊＊＊＊＊＊＊＊＊＊＊＊＊＊＊＊＊＊＊＊＊＊＊＊＊＊＊＊＊＊＊＊＊＊＊＊＊＊＊＊＊＊＊</w:t>
      </w:r>
    </w:p>
    <w:p w14:paraId="303DE1AF" w14:textId="77777777" w:rsidR="004E2FFF" w:rsidRDefault="004E2FFF" w:rsidP="0035554F">
      <w:pPr>
        <w:rPr>
          <w:rFonts w:ascii="ＭＳ 明朝" w:eastAsia="ＭＳ 明朝" w:hAnsi="ＭＳ 明朝"/>
          <w:b/>
          <w:bCs/>
          <w:sz w:val="22"/>
        </w:rPr>
      </w:pPr>
    </w:p>
    <w:p w14:paraId="661F5237" w14:textId="77777777" w:rsidR="004E2FFF" w:rsidRPr="004E2FFF" w:rsidRDefault="004E2FFF" w:rsidP="004E2FFF">
      <w:pPr>
        <w:rPr>
          <w:rFonts w:ascii="ＭＳ 明朝" w:eastAsia="ＭＳ 明朝" w:hAnsi="ＭＳ 明朝"/>
          <w:b/>
          <w:bCs/>
          <w:sz w:val="22"/>
        </w:rPr>
      </w:pPr>
    </w:p>
    <w:p w14:paraId="5AA1E68A" w14:textId="2831B83C" w:rsidR="004E2FFF" w:rsidRPr="004E2FFF" w:rsidRDefault="004E2FFF" w:rsidP="004E2FFF">
      <w:pPr>
        <w:rPr>
          <w:rFonts w:ascii="ＭＳ 明朝" w:eastAsia="ＭＳ 明朝" w:hAnsi="ＭＳ 明朝"/>
          <w:b/>
          <w:bCs/>
          <w:sz w:val="22"/>
        </w:rPr>
      </w:pPr>
      <w:r>
        <w:rPr>
          <w:rFonts w:ascii="ＭＳ 明朝" w:eastAsia="ＭＳ 明朝" w:hAnsi="ＭＳ 明朝" w:hint="eastAsia"/>
          <w:b/>
          <w:bCs/>
          <w:sz w:val="22"/>
        </w:rPr>
        <w:t xml:space="preserve">日本農業新聞　</w:t>
      </w:r>
      <w:r w:rsidRPr="004E2FFF">
        <w:rPr>
          <w:rFonts w:ascii="ＭＳ 明朝" w:eastAsia="ＭＳ 明朝" w:hAnsi="ＭＳ 明朝"/>
          <w:b/>
          <w:bCs/>
          <w:sz w:val="22"/>
        </w:rPr>
        <w:t>2026年4月22日</w:t>
      </w:r>
    </w:p>
    <w:p w14:paraId="10161ED1" w14:textId="77777777" w:rsidR="004E2FFF" w:rsidRPr="004E2FFF" w:rsidRDefault="004E2FFF" w:rsidP="004E2FFF">
      <w:pPr>
        <w:rPr>
          <w:rFonts w:ascii="ＭＳ 明朝" w:eastAsia="ＭＳ 明朝" w:hAnsi="ＭＳ 明朝"/>
          <w:b/>
          <w:bCs/>
          <w:sz w:val="28"/>
          <w:szCs w:val="28"/>
        </w:rPr>
      </w:pPr>
      <w:r w:rsidRPr="004E2FFF">
        <w:rPr>
          <w:rFonts w:ascii="ＭＳ 明朝" w:eastAsia="ＭＳ 明朝" w:hAnsi="ＭＳ 明朝" w:hint="eastAsia"/>
          <w:b/>
          <w:bCs/>
          <w:sz w:val="28"/>
          <w:szCs w:val="28"/>
        </w:rPr>
        <w:t>＜ニッポンの米＞麦・大豆、水田作は別単価　ＷＣＳは専用品種重視　水活見直し</w:t>
      </w:r>
    </w:p>
    <w:p w14:paraId="1C636A8C" w14:textId="77777777" w:rsidR="004E2FFF" w:rsidRDefault="004E2FFF" w:rsidP="004E2FFF">
      <w:pPr>
        <w:rPr>
          <w:rFonts w:ascii="ＭＳ 明朝" w:eastAsia="ＭＳ 明朝" w:hAnsi="ＭＳ 明朝"/>
          <w:b/>
          <w:bCs/>
          <w:sz w:val="22"/>
        </w:rPr>
      </w:pPr>
    </w:p>
    <w:p w14:paraId="7D3F29C1" w14:textId="77777777" w:rsidR="000B19ED"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農</w:t>
      </w:r>
      <w:r>
        <w:rPr>
          <w:rFonts w:ascii="ＭＳ 明朝" w:eastAsia="ＭＳ 明朝" w:hAnsi="ＭＳ 明朝" w:hint="eastAsia"/>
          <w:b/>
          <w:bCs/>
          <w:sz w:val="22"/>
        </w:rPr>
        <w:t>水省は２１日、２０２７年度からの「水田活用の直接支払い交付金」（水活）の見直しで、麦と大豆の高負担か</w:t>
      </w:r>
      <w:r w:rsidRPr="004E2FFF">
        <w:rPr>
          <w:rFonts w:ascii="ＭＳ 明朝" w:eastAsia="ＭＳ 明朝" w:hAnsi="ＭＳ 明朝" w:hint="eastAsia"/>
          <w:b/>
          <w:bCs/>
          <w:sz w:val="22"/>
        </w:rPr>
        <w:t>は、水田作と畑作でそれぞれ設定する方針を示した。</w:t>
      </w:r>
    </w:p>
    <w:p w14:paraId="3F15BABF" w14:textId="77777777" w:rsidR="000B19ED" w:rsidRDefault="004E2FFF" w:rsidP="000B19ED">
      <w:pPr>
        <w:ind w:firstLineChars="100" w:firstLine="204"/>
        <w:rPr>
          <w:rFonts w:ascii="ＭＳ 明朝" w:eastAsia="ＭＳ 明朝" w:hAnsi="ＭＳ 明朝"/>
          <w:b/>
          <w:bCs/>
          <w:sz w:val="22"/>
        </w:rPr>
      </w:pPr>
      <w:r w:rsidRPr="004E2FFF">
        <w:rPr>
          <w:rFonts w:ascii="ＭＳ 明朝" w:eastAsia="ＭＳ 明朝" w:hAnsi="ＭＳ 明朝" w:hint="eastAsia"/>
          <w:b/>
          <w:bCs/>
          <w:sz w:val="22"/>
        </w:rPr>
        <w:t>水田作では畑作よりも収量が劣りやすい実態を考慮する。</w:t>
      </w:r>
    </w:p>
    <w:p w14:paraId="734186C2" w14:textId="7B31C313" w:rsidR="004E2FFF" w:rsidRPr="000B19ED" w:rsidRDefault="004E2FFF" w:rsidP="000B19ED">
      <w:pPr>
        <w:ind w:firstLineChars="100" w:firstLine="204"/>
        <w:rPr>
          <w:rFonts w:ascii="ＭＳ 明朝" w:eastAsia="ＭＳ 明朝" w:hAnsi="ＭＳ 明朝"/>
          <w:b/>
          <w:bCs/>
          <w:color w:val="FF0000"/>
          <w:sz w:val="22"/>
        </w:rPr>
      </w:pPr>
      <w:r w:rsidRPr="000B19ED">
        <w:rPr>
          <w:rFonts w:ascii="ＭＳ 明朝" w:eastAsia="ＭＳ 明朝" w:hAnsi="ＭＳ 明朝" w:hint="eastAsia"/>
          <w:b/>
          <w:bCs/>
          <w:color w:val="FF0000"/>
          <w:sz w:val="22"/>
        </w:rPr>
        <w:t>飼料作物では、発酵粗飼料（ＷＣＳ）用稲で専用品種への転換を促す方針も示した。</w:t>
      </w:r>
    </w:p>
    <w:p w14:paraId="0C6DF3B9" w14:textId="77777777" w:rsidR="004E2FFF" w:rsidRP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同日、自民党の農業構造転換推進委員会で示した。</w:t>
      </w:r>
    </w:p>
    <w:p w14:paraId="394CB868" w14:textId="77777777" w:rsid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現行の水活では、転作を進めるために水田を対象に作付けに対して支援している。</w:t>
      </w:r>
    </w:p>
    <w:p w14:paraId="3559A995" w14:textId="02A2C42E" w:rsidR="004E2FFF" w:rsidRPr="004E2FFF" w:rsidRDefault="004E2FFF" w:rsidP="004E2FFF">
      <w:pPr>
        <w:ind w:firstLineChars="100" w:firstLine="204"/>
        <w:rPr>
          <w:rFonts w:ascii="ＭＳ 明朝" w:eastAsia="ＭＳ 明朝" w:hAnsi="ＭＳ 明朝"/>
          <w:b/>
          <w:bCs/>
          <w:sz w:val="22"/>
        </w:rPr>
      </w:pPr>
      <w:r w:rsidRPr="004E2FFF">
        <w:rPr>
          <w:rFonts w:ascii="ＭＳ 明朝" w:eastAsia="ＭＳ 明朝" w:hAnsi="ＭＳ 明朝" w:hint="eastAsia"/>
          <w:b/>
          <w:bCs/>
          <w:sz w:val="22"/>
        </w:rPr>
        <w:t>２７年度からは生産性向上のための制度として、水田か畑かにかかわらず１０アール当たりの収量に応じた単価で面積に応じて交付する仕組みに転換させる。</w:t>
      </w:r>
    </w:p>
    <w:p w14:paraId="1513326F" w14:textId="77777777" w:rsid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品種や技術の導入など、品目ごとに生産性向上につながる取り組みを提示し、実施を支援の条件とする。</w:t>
      </w:r>
    </w:p>
    <w:p w14:paraId="5AA15379" w14:textId="4F4B4141" w:rsidR="004E2FFF" w:rsidRPr="004E2FFF" w:rsidRDefault="004E2FFF" w:rsidP="004E2FFF">
      <w:pPr>
        <w:ind w:firstLineChars="100" w:firstLine="204"/>
        <w:rPr>
          <w:rFonts w:ascii="ＭＳ 明朝" w:eastAsia="ＭＳ 明朝" w:hAnsi="ＭＳ 明朝"/>
          <w:b/>
          <w:bCs/>
          <w:sz w:val="22"/>
        </w:rPr>
      </w:pPr>
      <w:r w:rsidRPr="004E2FFF">
        <w:rPr>
          <w:rFonts w:ascii="ＭＳ 明朝" w:eastAsia="ＭＳ 明朝" w:hAnsi="ＭＳ 明朝" w:hint="eastAsia"/>
          <w:b/>
          <w:bCs/>
          <w:sz w:val="22"/>
        </w:rPr>
        <w:t>地域の平均的な収量などを一定以上下回る場合は支援をしない方針も示した。</w:t>
      </w:r>
    </w:p>
    <w:p w14:paraId="54C134E7" w14:textId="77777777" w:rsid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麦や大豆では、湿害に弱く水田で作ると畑よりも収量が落ちやすい課題があるため、支援単価は水田作と畑作でそれぞれ設定する。</w:t>
      </w:r>
    </w:p>
    <w:p w14:paraId="40C7A4F3" w14:textId="1C827B4F" w:rsidR="004E2FFF" w:rsidRPr="004E2FFF" w:rsidRDefault="004E2FFF" w:rsidP="004E2FFF">
      <w:pPr>
        <w:ind w:firstLineChars="100" w:firstLine="204"/>
        <w:rPr>
          <w:rFonts w:ascii="ＭＳ 明朝" w:eastAsia="ＭＳ 明朝" w:hAnsi="ＭＳ 明朝"/>
          <w:b/>
          <w:bCs/>
          <w:sz w:val="22"/>
        </w:rPr>
      </w:pPr>
      <w:r w:rsidRPr="004E2FFF">
        <w:rPr>
          <w:rFonts w:ascii="ＭＳ 明朝" w:eastAsia="ＭＳ 明朝" w:hAnsi="ＭＳ 明朝" w:hint="eastAsia"/>
          <w:b/>
          <w:bCs/>
          <w:sz w:val="22"/>
        </w:rPr>
        <w:lastRenderedPageBreak/>
        <w:t>単価の基準となる収量は都道府県ごとの収量を基本とするが、地域差にも配慮する。</w:t>
      </w:r>
    </w:p>
    <w:p w14:paraId="04A61671" w14:textId="77777777" w:rsidR="004E2FFF" w:rsidRPr="000B19ED" w:rsidRDefault="004E2FFF" w:rsidP="004E2FFF">
      <w:pPr>
        <w:rPr>
          <w:rFonts w:ascii="ＭＳ 明朝" w:eastAsia="ＭＳ 明朝" w:hAnsi="ＭＳ 明朝"/>
          <w:b/>
          <w:bCs/>
          <w:color w:val="FF0000"/>
          <w:sz w:val="22"/>
        </w:rPr>
      </w:pPr>
      <w:r w:rsidRPr="000B19ED">
        <w:rPr>
          <w:rFonts w:ascii="ＭＳ 明朝" w:eastAsia="ＭＳ 明朝" w:hAnsi="ＭＳ 明朝" w:hint="eastAsia"/>
          <w:b/>
          <w:bCs/>
          <w:color w:val="FF0000"/>
          <w:sz w:val="22"/>
        </w:rPr>
        <w:t xml:space="preserve">　飼料作物のうち、稲の茎葉ごと刈り取って牛の餌にするＷＣＳ用稲では、「コシヒカリ」などの主食用の品種よりも栄養などが優れる専用品種への転換を促す方針を示した。</w:t>
      </w:r>
    </w:p>
    <w:p w14:paraId="6AFF3041" w14:textId="13176C65" w:rsidR="004E2FFF" w:rsidRPr="004E2FFF" w:rsidRDefault="004E2FFF" w:rsidP="004E2FFF">
      <w:pPr>
        <w:ind w:firstLineChars="100" w:firstLine="204"/>
        <w:rPr>
          <w:rFonts w:ascii="ＭＳ 明朝" w:eastAsia="ＭＳ 明朝" w:hAnsi="ＭＳ 明朝"/>
          <w:b/>
          <w:bCs/>
          <w:sz w:val="22"/>
        </w:rPr>
      </w:pPr>
      <w:r w:rsidRPr="004E2FFF">
        <w:rPr>
          <w:rFonts w:ascii="ＭＳ 明朝" w:eastAsia="ＭＳ 明朝" w:hAnsi="ＭＳ 明朝" w:hint="eastAsia"/>
          <w:b/>
          <w:bCs/>
          <w:sz w:val="22"/>
        </w:rPr>
        <w:t>主食用の品種も引き続き支援するとみられるが、助成内容に差が付く可能性もある。</w:t>
      </w:r>
    </w:p>
    <w:p w14:paraId="315C27A8" w14:textId="77777777" w:rsidR="000B19ED" w:rsidRPr="000B19ED" w:rsidRDefault="004E2FFF" w:rsidP="004E2FFF">
      <w:pPr>
        <w:rPr>
          <w:rFonts w:ascii="ＭＳ 明朝" w:eastAsia="ＭＳ 明朝" w:hAnsi="ＭＳ 明朝"/>
          <w:b/>
          <w:bCs/>
          <w:color w:val="FF0000"/>
          <w:sz w:val="22"/>
        </w:rPr>
      </w:pPr>
      <w:r w:rsidRPr="000B19ED">
        <w:rPr>
          <w:rFonts w:ascii="ＭＳ 明朝" w:eastAsia="ＭＳ 明朝" w:hAnsi="ＭＳ 明朝" w:hint="eastAsia"/>
          <w:b/>
          <w:bCs/>
          <w:color w:val="FF0000"/>
          <w:sz w:val="22"/>
        </w:rPr>
        <w:t xml:space="preserve">　飼料作物は収量の正確な把握が難しいため、ロール数などを確認することで階段状に単価が上がっていく仕組みとする。</w:t>
      </w:r>
    </w:p>
    <w:p w14:paraId="0A18CA62" w14:textId="5FFE1443" w:rsidR="004E2FFF" w:rsidRPr="004E2FFF" w:rsidRDefault="004E2FFF" w:rsidP="000B19ED">
      <w:pPr>
        <w:ind w:firstLineChars="100" w:firstLine="204"/>
        <w:rPr>
          <w:rFonts w:ascii="ＭＳ 明朝" w:eastAsia="ＭＳ 明朝" w:hAnsi="ＭＳ 明朝"/>
          <w:b/>
          <w:bCs/>
          <w:sz w:val="22"/>
        </w:rPr>
      </w:pPr>
      <w:r w:rsidRPr="004E2FFF">
        <w:rPr>
          <w:rFonts w:ascii="ＭＳ 明朝" w:eastAsia="ＭＳ 明朝" w:hAnsi="ＭＳ 明朝" w:hint="eastAsia"/>
          <w:b/>
          <w:bCs/>
          <w:sz w:val="22"/>
        </w:rPr>
        <w:t>基準となる収量の設定では地域の実情を踏まえる。</w:t>
      </w:r>
    </w:p>
    <w:p w14:paraId="78809D14" w14:textId="77777777" w:rsidR="004E2FFF" w:rsidRP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酒造好適米も支援する考えを示した。収量に基づく助成にはそぐわないため、安定供給への支援を検討するとするにとどめた。</w:t>
      </w:r>
    </w:p>
    <w:p w14:paraId="0014DEBB" w14:textId="77777777" w:rsidR="004E2FFF" w:rsidRP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（本田恵梨）</w:t>
      </w:r>
    </w:p>
    <w:p w14:paraId="3BB14E07" w14:textId="77777777" w:rsidR="004E2FFF" w:rsidRPr="004E2FFF" w:rsidRDefault="004E2FFF" w:rsidP="004E2FFF">
      <w:pPr>
        <w:rPr>
          <w:rFonts w:ascii="ＭＳ 明朝" w:eastAsia="ＭＳ 明朝" w:hAnsi="ＭＳ 明朝"/>
          <w:b/>
          <w:bCs/>
          <w:sz w:val="22"/>
        </w:rPr>
      </w:pPr>
    </w:p>
    <w:p w14:paraId="1C0B2ED3" w14:textId="77777777" w:rsidR="004E2FFF" w:rsidRP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新水田政策、５月に取りまとめ</w:t>
      </w:r>
    </w:p>
    <w:p w14:paraId="74101251" w14:textId="77777777" w:rsidR="004E2FFF" w:rsidRPr="004E2FFF" w:rsidRDefault="004E2FFF" w:rsidP="004E2FFF">
      <w:pPr>
        <w:rPr>
          <w:rFonts w:ascii="ＭＳ 明朝" w:eastAsia="ＭＳ 明朝" w:hAnsi="ＭＳ 明朝"/>
          <w:b/>
          <w:bCs/>
          <w:sz w:val="22"/>
        </w:rPr>
      </w:pPr>
    </w:p>
    <w:p w14:paraId="279B9A13" w14:textId="77777777" w:rsidR="004E2FFF" w:rsidRP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農水省は２１日、２０２７年度から導入する新たな水田政策の骨格を５月に取りまとめる方針を示した。支援単価は取りまとめ後に別途検討する。単価が具体化する前に契約や作付けの時期を迎える麦への対応も検討する考えを示した。</w:t>
      </w:r>
    </w:p>
    <w:p w14:paraId="209A8791" w14:textId="77777777" w:rsidR="004E2FFF" w:rsidRPr="004E2FFF" w:rsidRDefault="004E2FFF" w:rsidP="004E2FFF">
      <w:pPr>
        <w:rPr>
          <w:rFonts w:ascii="ＭＳ 明朝" w:eastAsia="ＭＳ 明朝" w:hAnsi="ＭＳ 明朝"/>
          <w:b/>
          <w:bCs/>
          <w:sz w:val="22"/>
        </w:rPr>
      </w:pPr>
      <w:r w:rsidRPr="004E2FFF">
        <w:rPr>
          <w:rFonts w:ascii="ＭＳ 明朝" w:eastAsia="ＭＳ 明朝" w:hAnsi="ＭＳ 明朝" w:hint="eastAsia"/>
          <w:b/>
          <w:bCs/>
          <w:sz w:val="22"/>
        </w:rPr>
        <w:t xml:space="preserve">　２７年度予算での措置に向け、政府が例年６月にまとめる「経済財政運営と改革の基本方針」（骨太の方針）に、新たな支援の枠組みを明記する。助成単価や支援を受けるための条件などの制度の詳細は、５月の取りまとめ後に詰める。</w:t>
      </w:r>
    </w:p>
    <w:p w14:paraId="69BCAF65" w14:textId="7A85E33C" w:rsidR="004E2FFF" w:rsidRDefault="004E2FFF" w:rsidP="004E2FFF">
      <w:pPr>
        <w:rPr>
          <w:rFonts w:ascii="ＭＳ 明朝" w:eastAsia="ＭＳ 明朝" w:hAnsi="ＭＳ 明朝" w:hint="eastAsia"/>
          <w:b/>
          <w:bCs/>
          <w:sz w:val="22"/>
        </w:rPr>
      </w:pPr>
      <w:r w:rsidRPr="004E2FFF">
        <w:rPr>
          <w:rFonts w:ascii="ＭＳ 明朝" w:eastAsia="ＭＳ 明朝" w:hAnsi="ＭＳ 明朝" w:hint="eastAsia"/>
          <w:b/>
          <w:bCs/>
          <w:sz w:val="22"/>
        </w:rPr>
        <w:t xml:space="preserve">　２７年度に必要な予算の見積りを財務省に提出する８月の概算要求時点で、単価をどの程度具体化できるかが焦点となる。取りまとめ後に地方説明会を開き、現場の意見を把握する考えも示した。</w:t>
      </w:r>
    </w:p>
    <w:sectPr w:rsidR="004E2FFF" w:rsidSect="00C52577">
      <w:pgSz w:w="11906" w:h="16838" w:code="9"/>
      <w:pgMar w:top="1134" w:right="1134" w:bottom="1134" w:left="1134" w:header="170" w:footer="170"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4F"/>
    <w:rsid w:val="000B19ED"/>
    <w:rsid w:val="0035554F"/>
    <w:rsid w:val="00392B6A"/>
    <w:rsid w:val="004E2FFF"/>
    <w:rsid w:val="008C47F2"/>
    <w:rsid w:val="009252C0"/>
    <w:rsid w:val="00C52577"/>
    <w:rsid w:val="00F34EA1"/>
    <w:rsid w:val="00F3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85462A"/>
  <w15:chartTrackingRefBased/>
  <w15:docId w15:val="{6F5D54F4-07B4-44D6-8804-75335802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2</cp:revision>
  <dcterms:created xsi:type="dcterms:W3CDTF">2026-04-23T21:39:00Z</dcterms:created>
  <dcterms:modified xsi:type="dcterms:W3CDTF">2026-04-23T21:39:00Z</dcterms:modified>
</cp:coreProperties>
</file>